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27D" w:rsidRDefault="00101CEE">
      <w:pPr>
        <w:pStyle w:val="BodyText"/>
        <w:jc w:val="center"/>
        <w:rPr>
          <w:b/>
          <w:sz w:val="48"/>
        </w:rPr>
      </w:pPr>
      <w:bookmarkStart w:id="0" w:name="_GoBack"/>
      <w:bookmarkEnd w:id="0"/>
      <w:r>
        <w:rPr>
          <w:b/>
          <w:sz w:val="48"/>
        </w:rPr>
        <w:t xml:space="preserve">NOTICE OF PUBLIC HEARING </w:t>
      </w:r>
      <w:r>
        <w:rPr>
          <w:b/>
          <w:sz w:val="48"/>
        </w:rPr>
        <w:br/>
        <w:t xml:space="preserve">ON TAX INCREASE </w:t>
      </w:r>
    </w:p>
    <w:p w:rsidR="0008227D" w:rsidRDefault="00101CEE">
      <w:pPr>
        <w:pStyle w:val="BodyText"/>
        <w:rPr>
          <w:sz w:val="26"/>
        </w:rPr>
      </w:pPr>
      <w:r>
        <w:rPr>
          <w:sz w:val="26"/>
        </w:rPr>
        <w:br/>
        <w:t xml:space="preserve">A tax rate of $0.162380 per $100 valuation has been proposed by the governing body of ANGELINA COLLEGE. </w:t>
      </w:r>
    </w:p>
    <w:tbl>
      <w:tblPr>
        <w:tblW w:w="0" w:type="auto"/>
        <w:tblLayout w:type="fixed"/>
        <w:tblCellMar>
          <w:left w:w="0" w:type="dxa"/>
          <w:right w:w="0" w:type="dxa"/>
        </w:tblCellMar>
        <w:tblLook w:val="0000" w:firstRow="0" w:lastRow="0" w:firstColumn="0" w:lastColumn="0" w:noHBand="0" w:noVBand="0"/>
      </w:tblPr>
      <w:tblGrid>
        <w:gridCol w:w="1953"/>
        <w:gridCol w:w="4296"/>
        <w:gridCol w:w="3125"/>
      </w:tblGrid>
      <w:tr w:rsidR="0008227D">
        <w:tc>
          <w:tcPr>
            <w:tcW w:w="1953" w:type="dxa"/>
            <w:shd w:val="clear" w:color="auto" w:fill="auto"/>
          </w:tcPr>
          <w:p w:rsidR="0008227D" w:rsidRDefault="0008227D">
            <w:pPr>
              <w:pStyle w:val="TableContents"/>
              <w:rPr>
                <w:sz w:val="4"/>
                <w:szCs w:val="4"/>
              </w:rPr>
            </w:pPr>
          </w:p>
        </w:tc>
        <w:tc>
          <w:tcPr>
            <w:tcW w:w="4296" w:type="dxa"/>
            <w:shd w:val="clear" w:color="auto" w:fill="auto"/>
          </w:tcPr>
          <w:p w:rsidR="0008227D" w:rsidRDefault="00101CEE">
            <w:pPr>
              <w:pStyle w:val="TableContents"/>
              <w:rPr>
                <w:sz w:val="26"/>
              </w:rPr>
            </w:pPr>
            <w:r>
              <w:rPr>
                <w:sz w:val="26"/>
              </w:rPr>
              <w:t xml:space="preserve">PROPOSED TAX RATE </w:t>
            </w:r>
          </w:p>
        </w:tc>
        <w:tc>
          <w:tcPr>
            <w:tcW w:w="3125" w:type="dxa"/>
            <w:shd w:val="clear" w:color="auto" w:fill="auto"/>
          </w:tcPr>
          <w:p w:rsidR="0008227D" w:rsidRDefault="00101CEE">
            <w:pPr>
              <w:pStyle w:val="TableContents"/>
              <w:rPr>
                <w:sz w:val="26"/>
              </w:rPr>
            </w:pPr>
            <w:r>
              <w:rPr>
                <w:sz w:val="26"/>
              </w:rPr>
              <w:t>$0.162380 per $100</w:t>
            </w:r>
          </w:p>
        </w:tc>
      </w:tr>
      <w:tr w:rsidR="0008227D">
        <w:tc>
          <w:tcPr>
            <w:tcW w:w="1953" w:type="dxa"/>
            <w:shd w:val="clear" w:color="auto" w:fill="auto"/>
          </w:tcPr>
          <w:p w:rsidR="0008227D" w:rsidRDefault="0008227D">
            <w:pPr>
              <w:pStyle w:val="TableContents"/>
              <w:rPr>
                <w:sz w:val="4"/>
                <w:szCs w:val="4"/>
              </w:rPr>
            </w:pPr>
          </w:p>
        </w:tc>
        <w:tc>
          <w:tcPr>
            <w:tcW w:w="4296" w:type="dxa"/>
            <w:shd w:val="clear" w:color="auto" w:fill="auto"/>
          </w:tcPr>
          <w:p w:rsidR="0008227D" w:rsidRDefault="00101CEE">
            <w:pPr>
              <w:pStyle w:val="TableContents"/>
              <w:rPr>
                <w:sz w:val="26"/>
              </w:rPr>
            </w:pPr>
            <w:r>
              <w:rPr>
                <w:sz w:val="26"/>
              </w:rPr>
              <w:t xml:space="preserve">NO-NEW-REVENUE TAX RATE </w:t>
            </w:r>
          </w:p>
        </w:tc>
        <w:tc>
          <w:tcPr>
            <w:tcW w:w="3125" w:type="dxa"/>
            <w:shd w:val="clear" w:color="auto" w:fill="auto"/>
          </w:tcPr>
          <w:p w:rsidR="0008227D" w:rsidRDefault="00101CEE">
            <w:pPr>
              <w:pStyle w:val="TableContents"/>
              <w:rPr>
                <w:sz w:val="26"/>
              </w:rPr>
            </w:pPr>
            <w:r>
              <w:rPr>
                <w:sz w:val="26"/>
              </w:rPr>
              <w:t>$0.151389 per $100</w:t>
            </w:r>
          </w:p>
        </w:tc>
      </w:tr>
      <w:tr w:rsidR="0008227D">
        <w:tc>
          <w:tcPr>
            <w:tcW w:w="1953" w:type="dxa"/>
            <w:shd w:val="clear" w:color="auto" w:fill="auto"/>
          </w:tcPr>
          <w:p w:rsidR="0008227D" w:rsidRDefault="0008227D">
            <w:pPr>
              <w:pStyle w:val="TableContents"/>
              <w:rPr>
                <w:sz w:val="4"/>
                <w:szCs w:val="4"/>
              </w:rPr>
            </w:pPr>
          </w:p>
        </w:tc>
        <w:tc>
          <w:tcPr>
            <w:tcW w:w="4296" w:type="dxa"/>
            <w:shd w:val="clear" w:color="auto" w:fill="auto"/>
          </w:tcPr>
          <w:p w:rsidR="0008227D" w:rsidRDefault="00101CEE">
            <w:pPr>
              <w:pStyle w:val="TableContents"/>
              <w:rPr>
                <w:sz w:val="26"/>
              </w:rPr>
            </w:pPr>
            <w:r>
              <w:rPr>
                <w:sz w:val="26"/>
              </w:rPr>
              <w:t xml:space="preserve">VOTER-APPROVAL TAX RATE </w:t>
            </w:r>
          </w:p>
        </w:tc>
        <w:tc>
          <w:tcPr>
            <w:tcW w:w="3125" w:type="dxa"/>
            <w:shd w:val="clear" w:color="auto" w:fill="auto"/>
          </w:tcPr>
          <w:p w:rsidR="0008227D" w:rsidRDefault="00101CEE">
            <w:pPr>
              <w:pStyle w:val="TableContents"/>
              <w:rPr>
                <w:sz w:val="26"/>
              </w:rPr>
            </w:pPr>
            <w:r>
              <w:rPr>
                <w:sz w:val="26"/>
              </w:rPr>
              <w:t>$0.162380 per $100</w:t>
            </w:r>
          </w:p>
        </w:tc>
      </w:tr>
    </w:tbl>
    <w:p w:rsidR="0008227D" w:rsidRDefault="00101CEE">
      <w:pPr>
        <w:pStyle w:val="BodyText"/>
        <w:rPr>
          <w:sz w:val="26"/>
        </w:rPr>
      </w:pPr>
      <w:r>
        <w:rPr>
          <w:sz w:val="26"/>
        </w:rPr>
        <w:br/>
        <w:t>The no-new-revenue tax rate is the tax rate for the 2022 tax year that will raise the same amount of property tax revenue for ANGELINA COLLEGE from the same properties in both the 2021 tax year and the 2022 tax year.</w:t>
      </w:r>
      <w:r>
        <w:rPr>
          <w:sz w:val="26"/>
        </w:rPr>
        <w:br/>
      </w:r>
      <w:r>
        <w:rPr>
          <w:sz w:val="26"/>
        </w:rPr>
        <w:br/>
        <w:t>The voter-approval rate is the highest tax rate that ANGELINA COLLEGE may adopt without holding an election to seek voter approval of the rate.</w:t>
      </w:r>
      <w:r>
        <w:rPr>
          <w:sz w:val="26"/>
        </w:rPr>
        <w:br/>
      </w:r>
      <w:r>
        <w:rPr>
          <w:sz w:val="26"/>
        </w:rPr>
        <w:br/>
        <w:t>The proposed tax rate is greater than the no-new-revenue tax rate. This means that ANGELINA COLLEGE is proposing to increase property taxes for the 2022 tax year.</w:t>
      </w:r>
      <w:r>
        <w:rPr>
          <w:sz w:val="26"/>
        </w:rPr>
        <w:br/>
      </w:r>
      <w:r>
        <w:rPr>
          <w:sz w:val="26"/>
        </w:rPr>
        <w:br/>
        <w:t>A PUBLIC HEARING ON THE PROPOSED TAX RATE WILL BE HELD ON September 12, 2022 AT 12:00 PM AT Angelina College Boardroom.</w:t>
      </w:r>
      <w:r>
        <w:rPr>
          <w:sz w:val="26"/>
        </w:rPr>
        <w:br/>
      </w:r>
      <w:r>
        <w:rPr>
          <w:sz w:val="26"/>
        </w:rPr>
        <w:br/>
        <w:t>The proposed tax rate is not greater than the voter-approval tax rate. As a result, ANGELINA COLLEGE is not required to hold an election at which voters may accept or reject the proposed tax rate. However, you may express your support for or opposition to the proposed tax rate by contacting the members of the of ANGELINA COLLEGE at their offices or by attending the public hearing mentioned above.</w:t>
      </w:r>
    </w:p>
    <w:p w:rsidR="0008227D" w:rsidRDefault="00101CEE">
      <w:pPr>
        <w:pStyle w:val="BodyText"/>
        <w:jc w:val="center"/>
        <w:rPr>
          <w:sz w:val="26"/>
        </w:rPr>
      </w:pPr>
      <w:r>
        <w:rPr>
          <w:sz w:val="26"/>
        </w:rPr>
        <w:t>YOUR TAXES OWED UNDER ANY OF THE RATES MENTIONED ABOVE CAN BE CALCULATED AS FOLLOWS:</w:t>
      </w:r>
      <w:r>
        <w:rPr>
          <w:sz w:val="26"/>
        </w:rPr>
        <w:br/>
      </w:r>
      <w:r>
        <w:rPr>
          <w:sz w:val="26"/>
        </w:rPr>
        <w:br/>
        <w:t xml:space="preserve">Property tax amount= (tax rate) x (taxable value of your property)/100 </w:t>
      </w:r>
    </w:p>
    <w:p w:rsidR="0008227D" w:rsidRDefault="0008227D">
      <w:pPr>
        <w:pStyle w:val="BodyText"/>
        <w:spacing w:after="0"/>
      </w:pPr>
    </w:p>
    <w:tbl>
      <w:tblPr>
        <w:tblW w:w="0" w:type="auto"/>
        <w:tblLayout w:type="fixed"/>
        <w:tblCellMar>
          <w:left w:w="0" w:type="dxa"/>
          <w:right w:w="0" w:type="dxa"/>
        </w:tblCellMar>
        <w:tblLook w:val="0000" w:firstRow="0" w:lastRow="0" w:firstColumn="0" w:lastColumn="0" w:noHBand="0" w:noVBand="0"/>
      </w:tblPr>
      <w:tblGrid>
        <w:gridCol w:w="2625"/>
        <w:gridCol w:w="3750"/>
        <w:gridCol w:w="3750"/>
      </w:tblGrid>
      <w:tr w:rsidR="0008227D">
        <w:tc>
          <w:tcPr>
            <w:tcW w:w="2625" w:type="dxa"/>
            <w:shd w:val="clear" w:color="auto" w:fill="auto"/>
          </w:tcPr>
          <w:p w:rsidR="0008227D" w:rsidRDefault="00101CEE">
            <w:pPr>
              <w:pStyle w:val="TableContents"/>
            </w:pPr>
            <w:r>
              <w:rPr>
                <w:b/>
              </w:rPr>
              <w:t>FOR the proposal:</w:t>
            </w:r>
            <w:r>
              <w:t xml:space="preserve"> </w:t>
            </w: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101CEE">
            <w:pPr>
              <w:pStyle w:val="TableContents"/>
            </w:pPr>
            <w:r>
              <w:rPr>
                <w:b/>
              </w:rPr>
              <w:t>AGAINST the proposal:</w:t>
            </w:r>
            <w:r>
              <w:t xml:space="preserve"> </w:t>
            </w: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101CEE">
            <w:pPr>
              <w:pStyle w:val="TableContents"/>
            </w:pPr>
            <w:r>
              <w:rPr>
                <w:b/>
              </w:rPr>
              <w:t>PRESENT</w:t>
            </w:r>
            <w:r>
              <w:t xml:space="preserve"> and not voting: </w:t>
            </w: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101CEE">
            <w:pPr>
              <w:pStyle w:val="TableContents"/>
            </w:pPr>
            <w:r>
              <w:rPr>
                <w:b/>
              </w:rPr>
              <w:t>ABSENT:</w:t>
            </w:r>
            <w:r>
              <w:t xml:space="preserve"> </w:t>
            </w: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r w:rsidR="0008227D">
        <w:tc>
          <w:tcPr>
            <w:tcW w:w="2625"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c>
          <w:tcPr>
            <w:tcW w:w="3750" w:type="dxa"/>
            <w:shd w:val="clear" w:color="auto" w:fill="auto"/>
          </w:tcPr>
          <w:p w:rsidR="0008227D" w:rsidRDefault="0008227D">
            <w:pPr>
              <w:pStyle w:val="TableContents"/>
              <w:rPr>
                <w:sz w:val="4"/>
                <w:szCs w:val="4"/>
              </w:rPr>
            </w:pPr>
          </w:p>
        </w:tc>
      </w:tr>
    </w:tbl>
    <w:p w:rsidR="0008227D" w:rsidRDefault="00101CEE">
      <w:pPr>
        <w:pStyle w:val="BodyText"/>
        <w:rPr>
          <w:sz w:val="26"/>
        </w:rPr>
      </w:pPr>
      <w:r>
        <w:rPr>
          <w:sz w:val="26"/>
        </w:rPr>
        <w:br/>
        <w:t>Visit Texas.gov/</w:t>
      </w:r>
      <w:proofErr w:type="spellStart"/>
      <w:r>
        <w:rPr>
          <w:sz w:val="26"/>
        </w:rPr>
        <w:t>PropertyTaxes</w:t>
      </w:r>
      <w:proofErr w:type="spellEnd"/>
      <w:r>
        <w:rPr>
          <w:sz w:val="26"/>
        </w:rPr>
        <w:t xml:space="preserve"> to find a link to your local property tax database on which you can easily access information regarding your property taxes, including information about proposed tax rates and scheduled public hearings of each entity that taxes your property.</w:t>
      </w:r>
      <w:r>
        <w:rPr>
          <w:sz w:val="26"/>
        </w:rPr>
        <w:br/>
      </w:r>
      <w:r>
        <w:rPr>
          <w:sz w:val="26"/>
        </w:rPr>
        <w:br/>
        <w:t>The 86th Texas Legislature modified the manner in which the voter-approval tax rate is calculated to limit the rate of growth of property taxes in the state.</w:t>
      </w:r>
      <w:r>
        <w:rPr>
          <w:sz w:val="26"/>
        </w:rPr>
        <w:br/>
      </w:r>
      <w:r>
        <w:rPr>
          <w:sz w:val="26"/>
        </w:rPr>
        <w:br/>
        <w:t>The following table compares the taxes imposed on the average residence homestead by ANGELINA COLLEGE last year to the taxes proposed to be imposed on the average residence homestead by ANGELINA COLLEGE this year.</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544"/>
        <w:gridCol w:w="2531"/>
        <w:gridCol w:w="2531"/>
        <w:gridCol w:w="2894"/>
      </w:tblGrid>
      <w:tr w:rsidR="0008227D">
        <w:tc>
          <w:tcPr>
            <w:tcW w:w="2544" w:type="dxa"/>
            <w:tcBorders>
              <w:top w:val="single" w:sz="8" w:space="0" w:color="C0C0C0"/>
              <w:left w:val="single" w:sz="8" w:space="0" w:color="C0C0C0"/>
              <w:bottom w:val="single" w:sz="8" w:space="0" w:color="C0C0C0"/>
            </w:tcBorders>
            <w:shd w:val="clear" w:color="auto" w:fill="auto"/>
          </w:tcPr>
          <w:p w:rsidR="0008227D" w:rsidRDefault="0008227D">
            <w:pPr>
              <w:pStyle w:val="TableContents"/>
              <w:rPr>
                <w:sz w:val="4"/>
                <w:szCs w:val="4"/>
              </w:rPr>
            </w:pPr>
          </w:p>
        </w:tc>
        <w:tc>
          <w:tcPr>
            <w:tcW w:w="2531" w:type="dxa"/>
            <w:tcBorders>
              <w:top w:val="single" w:sz="8" w:space="0" w:color="C0C0C0"/>
              <w:left w:val="single" w:sz="8" w:space="0" w:color="C0C0C0"/>
              <w:bottom w:val="single" w:sz="8" w:space="0" w:color="C0C0C0"/>
            </w:tcBorders>
            <w:shd w:val="clear" w:color="auto" w:fill="auto"/>
          </w:tcPr>
          <w:p w:rsidR="0008227D" w:rsidRDefault="00101CEE">
            <w:pPr>
              <w:pStyle w:val="TableContents"/>
              <w:jc w:val="center"/>
              <w:rPr>
                <w:b/>
                <w:sz w:val="26"/>
              </w:rPr>
            </w:pPr>
            <w:r>
              <w:rPr>
                <w:b/>
                <w:sz w:val="26"/>
              </w:rPr>
              <w:t>2021</w:t>
            </w:r>
          </w:p>
        </w:tc>
        <w:tc>
          <w:tcPr>
            <w:tcW w:w="2531" w:type="dxa"/>
            <w:tcBorders>
              <w:top w:val="single" w:sz="8" w:space="0" w:color="C0C0C0"/>
              <w:left w:val="single" w:sz="8" w:space="0" w:color="C0C0C0"/>
              <w:bottom w:val="single" w:sz="8" w:space="0" w:color="C0C0C0"/>
            </w:tcBorders>
            <w:shd w:val="clear" w:color="auto" w:fill="auto"/>
          </w:tcPr>
          <w:p w:rsidR="0008227D" w:rsidRDefault="00101CEE">
            <w:pPr>
              <w:pStyle w:val="TableContents"/>
              <w:jc w:val="center"/>
              <w:rPr>
                <w:b/>
                <w:sz w:val="26"/>
              </w:rPr>
            </w:pPr>
            <w:r>
              <w:rPr>
                <w:b/>
                <w:sz w:val="26"/>
              </w:rPr>
              <w:t>2022</w:t>
            </w:r>
          </w:p>
        </w:tc>
        <w:tc>
          <w:tcPr>
            <w:tcW w:w="2894" w:type="dxa"/>
            <w:tcBorders>
              <w:top w:val="single" w:sz="8" w:space="0" w:color="C0C0C0"/>
              <w:left w:val="single" w:sz="8" w:space="0" w:color="C0C0C0"/>
              <w:bottom w:val="single" w:sz="8" w:space="0" w:color="C0C0C0"/>
              <w:right w:val="single" w:sz="8" w:space="0" w:color="C0C0C0"/>
            </w:tcBorders>
            <w:shd w:val="clear" w:color="auto" w:fill="auto"/>
          </w:tcPr>
          <w:p w:rsidR="0008227D" w:rsidRDefault="00101CEE">
            <w:pPr>
              <w:pStyle w:val="TableContents"/>
              <w:jc w:val="center"/>
              <w:rPr>
                <w:b/>
                <w:sz w:val="26"/>
              </w:rPr>
            </w:pPr>
            <w:r>
              <w:rPr>
                <w:b/>
                <w:sz w:val="26"/>
              </w:rPr>
              <w:t>Change</w:t>
            </w:r>
          </w:p>
        </w:tc>
      </w:tr>
      <w:tr w:rsidR="0008227D">
        <w:tc>
          <w:tcPr>
            <w:tcW w:w="2544" w:type="dxa"/>
            <w:tcBorders>
              <w:left w:val="single" w:sz="8" w:space="0" w:color="C0C0C0"/>
              <w:bottom w:val="single" w:sz="8" w:space="0" w:color="C0C0C0"/>
            </w:tcBorders>
            <w:shd w:val="clear" w:color="auto" w:fill="auto"/>
          </w:tcPr>
          <w:p w:rsidR="0008227D" w:rsidRDefault="00101CEE">
            <w:pPr>
              <w:pStyle w:val="TableContents"/>
              <w:rPr>
                <w:sz w:val="26"/>
              </w:rPr>
            </w:pPr>
            <w:r>
              <w:rPr>
                <w:b/>
                <w:sz w:val="26"/>
              </w:rPr>
              <w:t>Total tax rate (per $100 of value)</w:t>
            </w:r>
            <w:r>
              <w:rPr>
                <w:sz w:val="26"/>
              </w:rPr>
              <w:t xml:space="preserve">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$0.164033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$0.162380 </w:t>
            </w:r>
          </w:p>
        </w:tc>
        <w:tc>
          <w:tcPr>
            <w:tcW w:w="2894" w:type="dxa"/>
            <w:tcBorders>
              <w:left w:val="single" w:sz="8" w:space="0" w:color="C0C0C0"/>
              <w:bottom w:val="single" w:sz="8" w:space="0" w:color="C0C0C0"/>
              <w:right w:val="single" w:sz="8" w:space="0" w:color="C0C0C0"/>
            </w:tcBorders>
            <w:shd w:val="clear" w:color="auto" w:fill="auto"/>
          </w:tcPr>
          <w:p w:rsidR="0008227D" w:rsidRDefault="00101CEE">
            <w:pPr>
              <w:pStyle w:val="TableContents"/>
              <w:rPr>
                <w:sz w:val="26"/>
              </w:rPr>
            </w:pPr>
            <w:r>
              <w:rPr>
                <w:sz w:val="26"/>
              </w:rPr>
              <w:t xml:space="preserve">decrease of -0.001653, or -1.01% </w:t>
            </w:r>
          </w:p>
        </w:tc>
      </w:tr>
      <w:tr w:rsidR="0008227D">
        <w:tc>
          <w:tcPr>
            <w:tcW w:w="2544" w:type="dxa"/>
            <w:tcBorders>
              <w:left w:val="single" w:sz="8" w:space="0" w:color="C0C0C0"/>
              <w:bottom w:val="single" w:sz="8" w:space="0" w:color="C0C0C0"/>
            </w:tcBorders>
            <w:shd w:val="clear" w:color="auto" w:fill="auto"/>
          </w:tcPr>
          <w:p w:rsidR="0008227D" w:rsidRDefault="00101CEE">
            <w:pPr>
              <w:pStyle w:val="TableContents"/>
              <w:rPr>
                <w:sz w:val="26"/>
              </w:rPr>
            </w:pPr>
            <w:r>
              <w:rPr>
                <w:b/>
                <w:sz w:val="26"/>
              </w:rPr>
              <w:t>Average homestead taxable value</w:t>
            </w:r>
            <w:r>
              <w:rPr>
                <w:sz w:val="26"/>
              </w:rPr>
              <w:t xml:space="preserve">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$130,121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$143,441 </w:t>
            </w:r>
          </w:p>
        </w:tc>
        <w:tc>
          <w:tcPr>
            <w:tcW w:w="2894" w:type="dxa"/>
            <w:tcBorders>
              <w:left w:val="single" w:sz="8" w:space="0" w:color="C0C0C0"/>
              <w:bottom w:val="single" w:sz="8" w:space="0" w:color="C0C0C0"/>
              <w:right w:val="single" w:sz="8" w:space="0" w:color="C0C0C0"/>
            </w:tcBorders>
            <w:shd w:val="clear" w:color="auto" w:fill="auto"/>
          </w:tcPr>
          <w:p w:rsidR="0008227D" w:rsidRDefault="00101CEE">
            <w:pPr>
              <w:pStyle w:val="TableContents"/>
              <w:rPr>
                <w:sz w:val="26"/>
              </w:rPr>
            </w:pPr>
            <w:r>
              <w:rPr>
                <w:sz w:val="26"/>
              </w:rPr>
              <w:t xml:space="preserve">increase of 13,320, or 10.24% </w:t>
            </w:r>
          </w:p>
        </w:tc>
      </w:tr>
      <w:tr w:rsidR="0008227D">
        <w:tc>
          <w:tcPr>
            <w:tcW w:w="2544" w:type="dxa"/>
            <w:tcBorders>
              <w:left w:val="single" w:sz="8" w:space="0" w:color="C0C0C0"/>
              <w:bottom w:val="single" w:sz="8" w:space="0" w:color="C0C0C0"/>
            </w:tcBorders>
            <w:shd w:val="clear" w:color="auto" w:fill="auto"/>
          </w:tcPr>
          <w:p w:rsidR="0008227D" w:rsidRDefault="00101CEE">
            <w:pPr>
              <w:pStyle w:val="TableContents"/>
              <w:rPr>
                <w:sz w:val="26"/>
              </w:rPr>
            </w:pPr>
            <w:r>
              <w:rPr>
                <w:b/>
                <w:sz w:val="26"/>
              </w:rPr>
              <w:t>Tax on average homestead</w:t>
            </w:r>
            <w:r>
              <w:rPr>
                <w:sz w:val="26"/>
              </w:rPr>
              <w:t xml:space="preserve">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$213.44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$232.92</w:t>
            </w:r>
          </w:p>
        </w:tc>
        <w:tc>
          <w:tcPr>
            <w:tcW w:w="2894" w:type="dxa"/>
            <w:tcBorders>
              <w:left w:val="single" w:sz="8" w:space="0" w:color="C0C0C0"/>
              <w:bottom w:val="single" w:sz="8" w:space="0" w:color="C0C0C0"/>
              <w:right w:val="single" w:sz="8" w:space="0" w:color="C0C0C0"/>
            </w:tcBorders>
            <w:shd w:val="clear" w:color="auto" w:fill="auto"/>
          </w:tcPr>
          <w:p w:rsidR="0008227D" w:rsidRDefault="00101CEE">
            <w:pPr>
              <w:pStyle w:val="TableContents"/>
              <w:rPr>
                <w:sz w:val="26"/>
              </w:rPr>
            </w:pPr>
            <w:r>
              <w:rPr>
                <w:sz w:val="26"/>
              </w:rPr>
              <w:t xml:space="preserve">increase of 19.48, or 9.13% </w:t>
            </w:r>
          </w:p>
        </w:tc>
      </w:tr>
      <w:tr w:rsidR="0008227D">
        <w:tc>
          <w:tcPr>
            <w:tcW w:w="2544" w:type="dxa"/>
            <w:tcBorders>
              <w:left w:val="single" w:sz="8" w:space="0" w:color="C0C0C0"/>
              <w:bottom w:val="single" w:sz="8" w:space="0" w:color="C0C0C0"/>
            </w:tcBorders>
            <w:shd w:val="clear" w:color="auto" w:fill="auto"/>
          </w:tcPr>
          <w:p w:rsidR="0008227D" w:rsidRDefault="00101CEE">
            <w:pPr>
              <w:pStyle w:val="TableContents"/>
              <w:rPr>
                <w:sz w:val="26"/>
              </w:rPr>
            </w:pPr>
            <w:r>
              <w:rPr>
                <w:b/>
                <w:sz w:val="26"/>
              </w:rPr>
              <w:t>Total tax levy on all properties</w:t>
            </w:r>
            <w:r>
              <w:rPr>
                <w:sz w:val="26"/>
              </w:rPr>
              <w:t xml:space="preserve">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$8,906,193 </w:t>
            </w:r>
          </w:p>
        </w:tc>
        <w:tc>
          <w:tcPr>
            <w:tcW w:w="2531" w:type="dxa"/>
            <w:tcBorders>
              <w:left w:val="single" w:sz="8" w:space="0" w:color="C0C0C0"/>
              <w:bottom w:val="single" w:sz="8" w:space="0" w:color="C0C0C0"/>
            </w:tcBorders>
            <w:shd w:val="clear" w:color="auto" w:fill="auto"/>
          </w:tcPr>
          <w:p w:rsidR="0008227D" w:rsidRDefault="00101CEE">
            <w:pPr>
              <w:pStyle w:val="TableContents"/>
              <w:rPr>
                <w:sz w:val="26"/>
              </w:rPr>
            </w:pPr>
            <w:r>
              <w:rPr>
                <w:sz w:val="26"/>
              </w:rPr>
              <w:t xml:space="preserve">$9,650,575 </w:t>
            </w:r>
          </w:p>
        </w:tc>
        <w:tc>
          <w:tcPr>
            <w:tcW w:w="2894" w:type="dxa"/>
            <w:tcBorders>
              <w:left w:val="single" w:sz="8" w:space="0" w:color="C0C0C0"/>
              <w:bottom w:val="single" w:sz="8" w:space="0" w:color="C0C0C0"/>
              <w:right w:val="single" w:sz="8" w:space="0" w:color="C0C0C0"/>
            </w:tcBorders>
            <w:shd w:val="clear" w:color="auto" w:fill="auto"/>
          </w:tcPr>
          <w:p w:rsidR="0008227D" w:rsidRDefault="00101CEE">
            <w:pPr>
              <w:pStyle w:val="TableContents"/>
              <w:rPr>
                <w:sz w:val="26"/>
              </w:rPr>
            </w:pPr>
            <w:r>
              <w:rPr>
                <w:sz w:val="26"/>
              </w:rPr>
              <w:t xml:space="preserve">increase of 744,382, or 8.36% </w:t>
            </w:r>
          </w:p>
        </w:tc>
      </w:tr>
    </w:tbl>
    <w:p w:rsidR="0008227D" w:rsidRDefault="0008227D">
      <w:pPr>
        <w:pStyle w:val="BodyText"/>
      </w:pPr>
    </w:p>
    <w:p w:rsidR="0008227D" w:rsidRDefault="0008227D">
      <w:pPr>
        <w:pStyle w:val="HorizontalLine"/>
      </w:pPr>
    </w:p>
    <w:p w:rsidR="00CB49BE" w:rsidRDefault="00101CEE">
      <w:pPr>
        <w:pStyle w:val="BodyText"/>
        <w:rPr>
          <w:sz w:val="26"/>
        </w:rPr>
      </w:pPr>
      <w:r>
        <w:rPr>
          <w:sz w:val="26"/>
        </w:rPr>
        <w:t xml:space="preserve">For assistance with tax calculations, please contact the </w:t>
      </w:r>
      <w:r w:rsidR="00AC4C14">
        <w:rPr>
          <w:sz w:val="26"/>
        </w:rPr>
        <w:t xml:space="preserve">Angelina County Tax Assessor-Collector at 936-671-5100 or visit </w:t>
      </w:r>
      <w:hyperlink r:id="rId4" w:history="1">
        <w:r w:rsidR="00AC4C14" w:rsidRPr="00E37838">
          <w:rPr>
            <w:rStyle w:val="Hyperlink"/>
            <w:sz w:val="26"/>
          </w:rPr>
          <w:t>www.angelinacounty.net</w:t>
        </w:r>
      </w:hyperlink>
      <w:r w:rsidR="00AC4C14">
        <w:rPr>
          <w:sz w:val="26"/>
        </w:rPr>
        <w:t xml:space="preserve"> for more information.</w:t>
      </w:r>
    </w:p>
    <w:sectPr w:rsidR="00CB49BE">
      <w:pgSz w:w="12240" w:h="15840"/>
      <w:pgMar w:top="288" w:right="432" w:bottom="245"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HGPMinchoE"/>
    <w:charset w:val="80"/>
    <w:family w:val="roman"/>
    <w:pitch w:val="variable"/>
  </w:font>
  <w:font w:name="Liberation Sans">
    <w:altName w:val="Yu Gothic"/>
    <w:charset w:val="80"/>
    <w:family w:val="auto"/>
    <w:pitch w:val="variable"/>
  </w:font>
  <w:font w:name="Thorndale">
    <w:altName w:val="HGPMinchoE"/>
    <w:charset w:val="80"/>
    <w:family w:val="roman"/>
    <w:pitch w:val="variable"/>
  </w:font>
  <w:font w:name="HG Mincho Light J">
    <w:altName w:val="Yu Gothic"/>
    <w:charset w:val="8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lbany">
    <w:altName w:val="Arial"/>
    <w:charset w:val="8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14"/>
    <w:rsid w:val="0008227D"/>
    <w:rsid w:val="00101CEE"/>
    <w:rsid w:val="009C53E2"/>
    <w:rsid w:val="009C67A5"/>
    <w:rsid w:val="00AC4C14"/>
    <w:rsid w:val="00CB49BE"/>
    <w:rsid w:val="00F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9954A51-D3B2-4569-A885-89FF32D9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Liberation Sans" w:hAnsi="Liberation Serif" w:cs="Liberation Sans"/>
      <w:sz w:val="24"/>
      <w:szCs w:val="24"/>
      <w:lang w:eastAsia="hi-IN" w:bidi="hi-IN"/>
    </w:rPr>
  </w:style>
  <w:style w:type="paragraph" w:styleId="Heading1">
    <w:name w:val="heading 1"/>
    <w:basedOn w:val="Heading"/>
    <w:next w:val="BodyText"/>
    <w:qFormat/>
    <w:p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orizontalLine">
    <w:name w:val="Horizontal Line"/>
    <w:basedOn w:val="Normal"/>
    <w:next w:val="BodyText"/>
    <w:pPr>
      <w:pBdr>
        <w:bottom w:val="double" w:sz="1"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pPr>
      <w:spacing w:after="0"/>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9"/>
    </w:p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customStyle="1" w:styleId="TableHeading">
    <w:name w:val="Table Heading"/>
    <w:basedOn w:val="TableContents"/>
    <w:pPr>
      <w:suppressLineNumbers/>
      <w:jc w:val="center"/>
    </w:pPr>
    <w:rPr>
      <w:b/>
      <w:bCs/>
    </w:rPr>
  </w:style>
  <w:style w:type="character" w:styleId="UnresolvedMention">
    <w:name w:val="Unresolved Mention"/>
    <w:uiPriority w:val="99"/>
    <w:semiHidden/>
    <w:unhideWhenUsed/>
    <w:rsid w:val="00AC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gelina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Links>
    <vt:vector size="6" baseType="variant">
      <vt:variant>
        <vt:i4>2687025</vt:i4>
      </vt:variant>
      <vt:variant>
        <vt:i4>0</vt:i4>
      </vt:variant>
      <vt:variant>
        <vt:i4>0</vt:i4>
      </vt:variant>
      <vt:variant>
        <vt:i4>5</vt:i4>
      </vt:variant>
      <vt:variant>
        <vt:lpwstr>http://www.angelinacounty.net/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Page</dc:creator>
  <cp:keywords/>
  <cp:lastModifiedBy>Leigh Ann Pyle</cp:lastModifiedBy>
  <cp:revision>2</cp:revision>
  <cp:lastPrinted>1900-01-01T06:00:00Z</cp:lastPrinted>
  <dcterms:created xsi:type="dcterms:W3CDTF">2022-09-06T02:05:00Z</dcterms:created>
  <dcterms:modified xsi:type="dcterms:W3CDTF">2022-09-06T02:05:00Z</dcterms:modified>
</cp:coreProperties>
</file>